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067" w:rsidRDefault="005E3917">
      <w:pPr>
        <w:pStyle w:val="Heading1"/>
        <w:ind w:right="274"/>
        <w:jc w:val="right"/>
      </w:pPr>
      <w:bookmarkStart w:id="0" w:name="_GoBack"/>
      <w:bookmarkEnd w:id="0"/>
      <w:r>
        <w:t>ELA/Literacy Module 2</w:t>
      </w:r>
    </w:p>
    <w:p w:rsidR="00485067" w:rsidRDefault="00485067">
      <w:pPr>
        <w:rPr>
          <w:sz w:val="20"/>
        </w:rPr>
      </w:pPr>
    </w:p>
    <w:p w:rsidR="00485067" w:rsidRDefault="00485067">
      <w:pPr>
        <w:spacing w:before="11"/>
        <w:rPr>
          <w:sz w:val="19"/>
        </w:rPr>
      </w:pPr>
    </w:p>
    <w:p w:rsidR="00485067" w:rsidRPr="0095463E" w:rsidRDefault="005E3917" w:rsidP="0095463E">
      <w:pPr>
        <w:spacing w:before="99"/>
        <w:jc w:val="center"/>
        <w:rPr>
          <w:b/>
          <w:sz w:val="24"/>
          <w:szCs w:val="24"/>
        </w:rPr>
      </w:pPr>
      <w:r w:rsidRPr="0095463E">
        <w:rPr>
          <w:b/>
          <w:sz w:val="24"/>
          <w:szCs w:val="24"/>
        </w:rPr>
        <w:t>Resource: Quantitative Analysis Chart for Determining Text Complexity</w:t>
      </w:r>
    </w:p>
    <w:p w:rsidR="00485067" w:rsidRDefault="00485067">
      <w:pPr>
        <w:rPr>
          <w:b/>
          <w:sz w:val="20"/>
        </w:rPr>
      </w:pPr>
    </w:p>
    <w:p w:rsidR="00485067" w:rsidRDefault="00485067">
      <w:pPr>
        <w:rPr>
          <w:b/>
          <w:sz w:val="20"/>
        </w:rPr>
      </w:pPr>
    </w:p>
    <w:p w:rsidR="00485067" w:rsidRDefault="00485067">
      <w:pPr>
        <w:spacing w:before="3" w:after="1"/>
        <w:rPr>
          <w:b/>
          <w:sz w:val="18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1589"/>
        <w:gridCol w:w="1590"/>
        <w:gridCol w:w="1588"/>
        <w:gridCol w:w="1592"/>
        <w:gridCol w:w="1590"/>
      </w:tblGrid>
      <w:tr w:rsidR="00485067">
        <w:trPr>
          <w:trHeight w:hRule="exact" w:val="853"/>
        </w:trPr>
        <w:tc>
          <w:tcPr>
            <w:tcW w:w="1588" w:type="dxa"/>
            <w:tcBorders>
              <w:right w:val="single" w:sz="24" w:space="0" w:color="000000"/>
            </w:tcBorders>
            <w:shd w:val="clear" w:color="auto" w:fill="D5E2BB"/>
          </w:tcPr>
          <w:p w:rsidR="00485067" w:rsidRDefault="005E3917">
            <w:pPr>
              <w:pStyle w:val="TableParagraph"/>
              <w:spacing w:before="139" w:line="271" w:lineRule="auto"/>
              <w:ind w:left="256" w:right="196" w:hanging="22"/>
              <w:rPr>
                <w:b/>
                <w:sz w:val="18"/>
              </w:rPr>
            </w:pPr>
            <w:r>
              <w:rPr>
                <w:b/>
                <w:sz w:val="18"/>
              </w:rPr>
              <w:t>CCSS Levels of Learning</w:t>
            </w:r>
          </w:p>
        </w:tc>
        <w:tc>
          <w:tcPr>
            <w:tcW w:w="1589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5E2BB"/>
          </w:tcPr>
          <w:p w:rsidR="00485067" w:rsidRDefault="0048506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485067" w:rsidRDefault="005E3917">
            <w:pPr>
              <w:pStyle w:val="TableParagraph"/>
              <w:spacing w:before="145"/>
              <w:ind w:left="492"/>
              <w:rPr>
                <w:b/>
                <w:sz w:val="18"/>
              </w:rPr>
            </w:pPr>
            <w:r>
              <w:rPr>
                <w:b/>
                <w:sz w:val="18"/>
              </w:rPr>
              <w:t>ATOS</w:t>
            </w:r>
          </w:p>
        </w:tc>
        <w:tc>
          <w:tcPr>
            <w:tcW w:w="1590" w:type="dxa"/>
            <w:tcBorders>
              <w:left w:val="single" w:sz="24" w:space="0" w:color="000000"/>
            </w:tcBorders>
            <w:shd w:val="clear" w:color="auto" w:fill="D5E2BB"/>
          </w:tcPr>
          <w:p w:rsidR="00485067" w:rsidRDefault="005E3917">
            <w:pPr>
              <w:pStyle w:val="TableParagraph"/>
              <w:spacing w:before="83" w:line="271" w:lineRule="auto"/>
              <w:ind w:left="261" w:right="28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Degrees of Reading Power</w:t>
            </w:r>
          </w:p>
        </w:tc>
        <w:tc>
          <w:tcPr>
            <w:tcW w:w="1588" w:type="dxa"/>
            <w:tcBorders>
              <w:right w:val="single" w:sz="24" w:space="0" w:color="000000"/>
            </w:tcBorders>
            <w:shd w:val="clear" w:color="auto" w:fill="D5E2BB"/>
          </w:tcPr>
          <w:p w:rsidR="00485067" w:rsidRDefault="0048506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485067" w:rsidRDefault="005E3917">
            <w:pPr>
              <w:pStyle w:val="TableParagraph"/>
              <w:spacing w:before="170"/>
              <w:ind w:left="123" w:righ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Flesch-Kincaid</w:t>
            </w:r>
          </w:p>
        </w:tc>
        <w:tc>
          <w:tcPr>
            <w:tcW w:w="1592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D5E2BB"/>
          </w:tcPr>
          <w:p w:rsidR="00485067" w:rsidRDefault="005E3917">
            <w:pPr>
              <w:pStyle w:val="TableParagraph"/>
              <w:spacing w:before="116" w:line="300" w:lineRule="auto"/>
              <w:ind w:left="259" w:right="215" w:firstLine="55"/>
              <w:rPr>
                <w:b/>
                <w:sz w:val="18"/>
              </w:rPr>
            </w:pPr>
            <w:r>
              <w:rPr>
                <w:b/>
                <w:sz w:val="18"/>
              </w:rPr>
              <w:t>The Lexile Framework</w:t>
            </w:r>
          </w:p>
        </w:tc>
        <w:tc>
          <w:tcPr>
            <w:tcW w:w="1590" w:type="dxa"/>
            <w:tcBorders>
              <w:left w:val="single" w:sz="24" w:space="0" w:color="000000"/>
            </w:tcBorders>
            <w:shd w:val="clear" w:color="auto" w:fill="D5E2BB"/>
          </w:tcPr>
          <w:p w:rsidR="00485067" w:rsidRDefault="005E3917">
            <w:pPr>
              <w:pStyle w:val="TableParagraph"/>
              <w:spacing w:before="142" w:line="300" w:lineRule="auto"/>
              <w:ind w:left="374" w:right="377" w:firstLine="33"/>
              <w:rPr>
                <w:b/>
                <w:sz w:val="18"/>
              </w:rPr>
            </w:pPr>
            <w:r>
              <w:rPr>
                <w:b/>
                <w:sz w:val="18"/>
              </w:rPr>
              <w:t>Reading Maturity</w:t>
            </w:r>
          </w:p>
        </w:tc>
      </w:tr>
      <w:tr w:rsidR="00485067">
        <w:trPr>
          <w:trHeight w:hRule="exact" w:val="581"/>
        </w:trPr>
        <w:tc>
          <w:tcPr>
            <w:tcW w:w="1588" w:type="dxa"/>
            <w:tcBorders>
              <w:right w:val="single" w:sz="24" w:space="0" w:color="000000"/>
            </w:tcBorders>
            <w:shd w:val="clear" w:color="auto" w:fill="EAF0DD"/>
          </w:tcPr>
          <w:p w:rsidR="00485067" w:rsidRDefault="005E3917">
            <w:pPr>
              <w:pStyle w:val="TableParagraph"/>
              <w:spacing w:before="127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B (2</w:t>
            </w:r>
            <w:proofErr w:type="spellStart"/>
            <w:r>
              <w:rPr>
                <w:position w:val="6"/>
                <w:sz w:val="18"/>
              </w:rPr>
              <w:t>nd</w:t>
            </w:r>
            <w:proofErr w:type="spellEnd"/>
            <w:r>
              <w:rPr>
                <w:position w:val="6"/>
                <w:sz w:val="18"/>
              </w:rPr>
              <w:t xml:space="preserve"> </w:t>
            </w:r>
            <w:r>
              <w:rPr>
                <w:sz w:val="18"/>
              </w:rPr>
              <w:t>– 3</w:t>
            </w:r>
            <w:proofErr w:type="spellStart"/>
            <w:r>
              <w:rPr>
                <w:position w:val="6"/>
                <w:sz w:val="18"/>
              </w:rPr>
              <w:t>rd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89" w:type="dxa"/>
            <w:tcBorders>
              <w:left w:val="single" w:sz="24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25"/>
              <w:ind w:left="314"/>
              <w:rPr>
                <w:sz w:val="18"/>
              </w:rPr>
            </w:pPr>
            <w:r>
              <w:rPr>
                <w:sz w:val="18"/>
              </w:rPr>
              <w:t>2.75 – 5.14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25"/>
              <w:ind w:left="261" w:right="222"/>
              <w:jc w:val="center"/>
              <w:rPr>
                <w:sz w:val="18"/>
              </w:rPr>
            </w:pPr>
            <w:r>
              <w:rPr>
                <w:sz w:val="18"/>
              </w:rPr>
              <w:t>42 – 54</w:t>
            </w:r>
          </w:p>
        </w:tc>
        <w:tc>
          <w:tcPr>
            <w:tcW w:w="1588" w:type="dxa"/>
            <w:tcBorders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25"/>
              <w:ind w:left="193" w:right="67"/>
              <w:jc w:val="center"/>
              <w:rPr>
                <w:sz w:val="18"/>
              </w:rPr>
            </w:pPr>
            <w:r>
              <w:rPr>
                <w:sz w:val="18"/>
              </w:rPr>
              <w:t>1.98 – 5.34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22"/>
              <w:ind w:left="364"/>
              <w:rPr>
                <w:sz w:val="18"/>
              </w:rPr>
            </w:pPr>
            <w:r>
              <w:rPr>
                <w:sz w:val="18"/>
              </w:rPr>
              <w:t>420 – 820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25"/>
              <w:ind w:left="314"/>
              <w:rPr>
                <w:sz w:val="18"/>
              </w:rPr>
            </w:pPr>
            <w:r>
              <w:rPr>
                <w:sz w:val="18"/>
              </w:rPr>
              <w:t>3.53 – 6.13</w:t>
            </w:r>
          </w:p>
        </w:tc>
      </w:tr>
      <w:tr w:rsidR="00485067">
        <w:trPr>
          <w:trHeight w:hRule="exact" w:val="576"/>
        </w:trPr>
        <w:tc>
          <w:tcPr>
            <w:tcW w:w="1588" w:type="dxa"/>
            <w:tcBorders>
              <w:right w:val="single" w:sz="24" w:space="0" w:color="000000"/>
            </w:tcBorders>
            <w:shd w:val="clear" w:color="auto" w:fill="EAF0DD"/>
          </w:tcPr>
          <w:p w:rsidR="00485067" w:rsidRDefault="005E3917">
            <w:pPr>
              <w:pStyle w:val="TableParagraph"/>
              <w:spacing w:before="123"/>
              <w:ind w:right="131"/>
              <w:jc w:val="right"/>
              <w:rPr>
                <w:sz w:val="18"/>
              </w:rPr>
            </w:pPr>
            <w:r>
              <w:rPr>
                <w:sz w:val="18"/>
              </w:rPr>
              <w:t>C (4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position w:val="6"/>
                <w:sz w:val="18"/>
              </w:rPr>
              <w:t xml:space="preserve"> </w:t>
            </w:r>
            <w:r>
              <w:rPr>
                <w:sz w:val="18"/>
              </w:rPr>
              <w:t>– 5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89" w:type="dxa"/>
            <w:tcBorders>
              <w:left w:val="single" w:sz="24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20"/>
              <w:ind w:left="314"/>
              <w:rPr>
                <w:sz w:val="18"/>
              </w:rPr>
            </w:pPr>
            <w:r>
              <w:rPr>
                <w:sz w:val="18"/>
              </w:rPr>
              <w:t>4.97 – 7.03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20"/>
              <w:ind w:left="261" w:right="222"/>
              <w:jc w:val="center"/>
              <w:rPr>
                <w:sz w:val="18"/>
              </w:rPr>
            </w:pPr>
            <w:r>
              <w:rPr>
                <w:sz w:val="18"/>
              </w:rPr>
              <w:t>52 – 60</w:t>
            </w:r>
          </w:p>
        </w:tc>
        <w:tc>
          <w:tcPr>
            <w:tcW w:w="1588" w:type="dxa"/>
            <w:tcBorders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20"/>
              <w:ind w:left="193" w:right="67"/>
              <w:jc w:val="center"/>
              <w:rPr>
                <w:sz w:val="18"/>
              </w:rPr>
            </w:pPr>
            <w:r>
              <w:rPr>
                <w:sz w:val="18"/>
              </w:rPr>
              <w:t>4.51 – 7.73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ind w:left="314"/>
              <w:rPr>
                <w:sz w:val="18"/>
              </w:rPr>
            </w:pPr>
            <w:r>
              <w:rPr>
                <w:sz w:val="18"/>
              </w:rPr>
              <w:t>740 – 1010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20"/>
              <w:ind w:left="314"/>
              <w:rPr>
                <w:sz w:val="18"/>
              </w:rPr>
            </w:pPr>
            <w:r>
              <w:rPr>
                <w:sz w:val="18"/>
              </w:rPr>
              <w:t>5.42 – 7.92</w:t>
            </w:r>
          </w:p>
        </w:tc>
      </w:tr>
      <w:tr w:rsidR="00485067">
        <w:trPr>
          <w:trHeight w:hRule="exact" w:val="576"/>
        </w:trPr>
        <w:tc>
          <w:tcPr>
            <w:tcW w:w="1588" w:type="dxa"/>
            <w:tcBorders>
              <w:right w:val="single" w:sz="24" w:space="0" w:color="000000"/>
            </w:tcBorders>
            <w:shd w:val="clear" w:color="auto" w:fill="EAF0DD"/>
          </w:tcPr>
          <w:p w:rsidR="00485067" w:rsidRDefault="005E3917">
            <w:pPr>
              <w:pStyle w:val="TableParagraph"/>
              <w:spacing w:before="120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D (6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position w:val="6"/>
                <w:sz w:val="18"/>
              </w:rPr>
              <w:t xml:space="preserve"> </w:t>
            </w:r>
            <w:r>
              <w:rPr>
                <w:sz w:val="18"/>
              </w:rPr>
              <w:t>– 8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89" w:type="dxa"/>
            <w:tcBorders>
              <w:left w:val="single" w:sz="24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ind w:left="314"/>
              <w:rPr>
                <w:sz w:val="18"/>
              </w:rPr>
            </w:pPr>
            <w:r>
              <w:rPr>
                <w:sz w:val="18"/>
              </w:rPr>
              <w:t>7.00 – 9.98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ind w:left="261" w:right="222"/>
              <w:jc w:val="center"/>
              <w:rPr>
                <w:sz w:val="18"/>
              </w:rPr>
            </w:pPr>
            <w:r>
              <w:rPr>
                <w:sz w:val="18"/>
              </w:rPr>
              <w:t>57 – 67</w:t>
            </w:r>
          </w:p>
        </w:tc>
        <w:tc>
          <w:tcPr>
            <w:tcW w:w="1588" w:type="dxa"/>
            <w:tcBorders>
              <w:right w:val="single" w:sz="24" w:space="0" w:color="000000"/>
            </w:tcBorders>
          </w:tcPr>
          <w:p w:rsidR="00485067" w:rsidRDefault="005E3917">
            <w:pPr>
              <w:pStyle w:val="TableParagraph"/>
              <w:ind w:left="206" w:right="67"/>
              <w:jc w:val="center"/>
              <w:rPr>
                <w:sz w:val="18"/>
              </w:rPr>
            </w:pPr>
            <w:r>
              <w:rPr>
                <w:sz w:val="18"/>
              </w:rPr>
              <w:t>6.51 – 10.34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5"/>
              <w:ind w:left="314"/>
              <w:rPr>
                <w:sz w:val="18"/>
              </w:rPr>
            </w:pPr>
            <w:r>
              <w:rPr>
                <w:sz w:val="18"/>
              </w:rPr>
              <w:t>925 – 1185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ind w:left="314"/>
              <w:rPr>
                <w:sz w:val="18"/>
              </w:rPr>
            </w:pPr>
            <w:r>
              <w:rPr>
                <w:sz w:val="18"/>
              </w:rPr>
              <w:t>7.04 – 9.57</w:t>
            </w:r>
          </w:p>
        </w:tc>
      </w:tr>
      <w:tr w:rsidR="00485067">
        <w:trPr>
          <w:trHeight w:hRule="exact" w:val="575"/>
        </w:trPr>
        <w:tc>
          <w:tcPr>
            <w:tcW w:w="1588" w:type="dxa"/>
            <w:tcBorders>
              <w:right w:val="single" w:sz="24" w:space="0" w:color="000000"/>
            </w:tcBorders>
            <w:shd w:val="clear" w:color="auto" w:fill="EAF0DD"/>
          </w:tcPr>
          <w:p w:rsidR="00485067" w:rsidRDefault="005E3917">
            <w:pPr>
              <w:pStyle w:val="TableParagraph"/>
              <w:spacing w:before="121"/>
              <w:ind w:right="85"/>
              <w:jc w:val="right"/>
              <w:rPr>
                <w:sz w:val="18"/>
              </w:rPr>
            </w:pPr>
            <w:r>
              <w:rPr>
                <w:sz w:val="18"/>
              </w:rPr>
              <w:t>E (9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position w:val="6"/>
                <w:sz w:val="18"/>
              </w:rPr>
              <w:t xml:space="preserve"> </w:t>
            </w:r>
            <w:r>
              <w:rPr>
                <w:sz w:val="18"/>
              </w:rPr>
              <w:t>– 10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89" w:type="dxa"/>
            <w:tcBorders>
              <w:left w:val="single" w:sz="24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8"/>
              <w:ind w:right="147"/>
              <w:jc w:val="right"/>
              <w:rPr>
                <w:sz w:val="18"/>
              </w:rPr>
            </w:pPr>
            <w:r>
              <w:rPr>
                <w:sz w:val="18"/>
              </w:rPr>
              <w:t>9.67 – 12.01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18"/>
              <w:ind w:left="261" w:right="222"/>
              <w:jc w:val="center"/>
              <w:rPr>
                <w:sz w:val="18"/>
              </w:rPr>
            </w:pPr>
            <w:r>
              <w:rPr>
                <w:sz w:val="18"/>
              </w:rPr>
              <w:t>62 – 72</w:t>
            </w:r>
          </w:p>
        </w:tc>
        <w:tc>
          <w:tcPr>
            <w:tcW w:w="1588" w:type="dxa"/>
            <w:tcBorders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8"/>
              <w:ind w:left="206" w:right="67"/>
              <w:jc w:val="center"/>
              <w:rPr>
                <w:sz w:val="18"/>
              </w:rPr>
            </w:pPr>
            <w:r>
              <w:rPr>
                <w:sz w:val="18"/>
              </w:rPr>
              <w:t>8.32 – 12.12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6"/>
              <w:ind w:left="263"/>
              <w:rPr>
                <w:sz w:val="18"/>
              </w:rPr>
            </w:pPr>
            <w:r>
              <w:rPr>
                <w:sz w:val="18"/>
              </w:rPr>
              <w:t>1050 – 1335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18"/>
              <w:ind w:left="263"/>
              <w:rPr>
                <w:sz w:val="18"/>
              </w:rPr>
            </w:pPr>
            <w:r>
              <w:rPr>
                <w:sz w:val="18"/>
              </w:rPr>
              <w:t>8.41 – 10.81</w:t>
            </w:r>
          </w:p>
        </w:tc>
      </w:tr>
      <w:tr w:rsidR="00485067">
        <w:trPr>
          <w:trHeight w:hRule="exact" w:val="600"/>
        </w:trPr>
        <w:tc>
          <w:tcPr>
            <w:tcW w:w="1588" w:type="dxa"/>
            <w:tcBorders>
              <w:right w:val="single" w:sz="24" w:space="0" w:color="000000"/>
            </w:tcBorders>
            <w:shd w:val="clear" w:color="auto" w:fill="EAF0DD"/>
          </w:tcPr>
          <w:p w:rsidR="00485067" w:rsidRDefault="005E3917">
            <w:pPr>
              <w:pStyle w:val="TableParagraph"/>
              <w:spacing w:before="121"/>
              <w:ind w:right="85"/>
              <w:jc w:val="right"/>
              <w:rPr>
                <w:sz w:val="18"/>
              </w:rPr>
            </w:pPr>
            <w:r>
              <w:rPr>
                <w:sz w:val="18"/>
              </w:rPr>
              <w:t>E (11</w:t>
            </w:r>
            <w:proofErr w:type="spellStart"/>
            <w:r>
              <w:rPr>
                <w:position w:val="6"/>
                <w:sz w:val="18"/>
              </w:rPr>
              <w:t>th</w:t>
            </w:r>
            <w:proofErr w:type="spellEnd"/>
            <w:r>
              <w:rPr>
                <w:position w:val="6"/>
                <w:sz w:val="18"/>
              </w:rPr>
              <w:t xml:space="preserve"> </w:t>
            </w:r>
            <w:r>
              <w:rPr>
                <w:sz w:val="18"/>
              </w:rPr>
              <w:t>– CCSS)</w:t>
            </w:r>
          </w:p>
        </w:tc>
        <w:tc>
          <w:tcPr>
            <w:tcW w:w="1589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9"/>
              <w:ind w:right="81"/>
              <w:jc w:val="right"/>
              <w:rPr>
                <w:sz w:val="18"/>
              </w:rPr>
            </w:pPr>
            <w:r>
              <w:rPr>
                <w:sz w:val="18"/>
              </w:rPr>
              <w:t>11.20 – 14.10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19"/>
              <w:ind w:left="261" w:right="222"/>
              <w:jc w:val="center"/>
              <w:rPr>
                <w:sz w:val="18"/>
              </w:rPr>
            </w:pPr>
            <w:r>
              <w:rPr>
                <w:sz w:val="18"/>
              </w:rPr>
              <w:t>67 – 74</w:t>
            </w:r>
          </w:p>
        </w:tc>
        <w:tc>
          <w:tcPr>
            <w:tcW w:w="1588" w:type="dxa"/>
            <w:tcBorders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9"/>
              <w:ind w:left="206" w:right="67"/>
              <w:jc w:val="center"/>
              <w:rPr>
                <w:sz w:val="18"/>
              </w:rPr>
            </w:pPr>
            <w:r>
              <w:rPr>
                <w:sz w:val="18"/>
              </w:rPr>
              <w:t>10.34 – 14.2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85067" w:rsidRDefault="005E3917">
            <w:pPr>
              <w:pStyle w:val="TableParagraph"/>
              <w:spacing w:before="116"/>
              <w:ind w:left="263"/>
              <w:rPr>
                <w:sz w:val="18"/>
              </w:rPr>
            </w:pPr>
            <w:r>
              <w:rPr>
                <w:sz w:val="18"/>
              </w:rPr>
              <w:t>1185 – 1385</w:t>
            </w:r>
          </w:p>
        </w:tc>
        <w:tc>
          <w:tcPr>
            <w:tcW w:w="1590" w:type="dxa"/>
            <w:tcBorders>
              <w:left w:val="single" w:sz="24" w:space="0" w:color="000000"/>
            </w:tcBorders>
          </w:tcPr>
          <w:p w:rsidR="00485067" w:rsidRDefault="005E3917">
            <w:pPr>
              <w:pStyle w:val="TableParagraph"/>
              <w:spacing w:before="119"/>
              <w:ind w:left="263"/>
              <w:rPr>
                <w:sz w:val="18"/>
              </w:rPr>
            </w:pPr>
            <w:r>
              <w:rPr>
                <w:sz w:val="18"/>
              </w:rPr>
              <w:t>9.57 – 12.00</w:t>
            </w:r>
          </w:p>
        </w:tc>
      </w:tr>
    </w:tbl>
    <w:p w:rsidR="00485067" w:rsidRDefault="00485067">
      <w:pPr>
        <w:rPr>
          <w:b/>
          <w:sz w:val="20"/>
        </w:rPr>
      </w:pPr>
    </w:p>
    <w:p w:rsidR="00485067" w:rsidRDefault="00485067">
      <w:pPr>
        <w:rPr>
          <w:b/>
          <w:sz w:val="20"/>
        </w:rPr>
      </w:pPr>
    </w:p>
    <w:p w:rsidR="00485067" w:rsidRDefault="00485067">
      <w:pPr>
        <w:spacing w:before="2"/>
        <w:rPr>
          <w:b/>
          <w:sz w:val="25"/>
        </w:rPr>
      </w:pPr>
    </w:p>
    <w:p w:rsidR="00485067" w:rsidRPr="0095463E" w:rsidRDefault="005E3917" w:rsidP="00E5394A">
      <w:pPr>
        <w:pStyle w:val="BodyText"/>
        <w:spacing w:before="100" w:line="268" w:lineRule="auto"/>
        <w:ind w:left="100" w:right="668"/>
      </w:pPr>
      <w:r>
        <w:t>Note: ATOS and Lexile are bolded because they are the two measures used to analyze the text excerpts used in this activity.</w:t>
      </w:r>
    </w:p>
    <w:sectPr w:rsidR="00485067" w:rsidRPr="0095463E" w:rsidSect="0095463E">
      <w:headerReference w:type="first" r:id="rId6"/>
      <w:footerReference w:type="first" r:id="rId7"/>
      <w:type w:val="continuous"/>
      <w:pgSz w:w="12240" w:h="15840"/>
      <w:pgMar w:top="640" w:right="1140" w:bottom="280" w:left="13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1C" w:rsidRDefault="00E61B1C" w:rsidP="0095463E">
      <w:r>
        <w:separator/>
      </w:r>
    </w:p>
  </w:endnote>
  <w:endnote w:type="continuationSeparator" w:id="0">
    <w:p w:rsidR="00E61B1C" w:rsidRDefault="00E61B1C" w:rsidP="0095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63E" w:rsidRDefault="0095463E">
    <w:pPr>
      <w:pStyle w:val="Footer"/>
    </w:pPr>
    <w:r>
      <w:rPr>
        <w:noProof/>
      </w:rPr>
      <w:drawing>
        <wp:inline distT="0" distB="0" distL="0" distR="0" wp14:anchorId="0B98FDA7" wp14:editId="07479656">
          <wp:extent cx="1924050" cy="742950"/>
          <wp:effectExtent l="0" t="0" r="0" b="0"/>
          <wp:docPr id="2" name="image03.png" descr="https://lh5.googleusercontent.com/KXi3oYDxbyA_Io8Cj-Gou3OyduWzRsemnI-5dYdECk8aLqfgOqH99OKAKazuIT5GAfwoDiyl6PJdRqrNun303SgaLx2Vv1q4e0fLmiuxehFSJtFTZFHa1wjuMtDkXV9_sI2DgaeUXRDmzdyB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 descr="https://lh5.googleusercontent.com/KXi3oYDxbyA_Io8Cj-Gou3OyduWzRsemnI-5dYdECk8aLqfgOqH99OKAKazuIT5GAfwoDiyl6PJdRqrNun303SgaLx2Vv1q4e0fLmiuxehFSJtFTZFHa1wjuMtDkXV9_sI2DgaeUXRDmzdyB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4050" cy="742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1C" w:rsidRDefault="00E61B1C" w:rsidP="0095463E">
      <w:r>
        <w:separator/>
      </w:r>
    </w:p>
  </w:footnote>
  <w:footnote w:type="continuationSeparator" w:id="0">
    <w:p w:rsidR="00E61B1C" w:rsidRDefault="00E61B1C" w:rsidP="00954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94A" w:rsidRDefault="00FC6DEA">
    <w:pPr>
      <w:pStyle w:val="Header"/>
    </w:pPr>
    <w:r>
      <w:rPr>
        <w:rFonts w:ascii="Calibri" w:hAnsi="Calibri"/>
        <w:noProof/>
        <w:color w:val="000000"/>
      </w:rPr>
      <w:drawing>
        <wp:inline distT="0" distB="0" distL="0" distR="0">
          <wp:extent cx="2771775" cy="219075"/>
          <wp:effectExtent l="0" t="0" r="0" b="0"/>
          <wp:docPr id="3" name="Picture 3" descr="https://lh6.googleusercontent.com/O8BRxUD_FcDS6GGgblAZ9D_BLUsL5NkcgDENlMvb3l3h-mPDRzQrqWDu9t_AQVeHD5027IQQJ1EK-PVLPHF2oSH3znuzIGxxhI3Mu2tL2X9uScQ4XhrLG5scTaTh_5tC646EAtQXZomgKt-47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6.googleusercontent.com/O8BRxUD_FcDS6GGgblAZ9D_BLUsL5NkcgDENlMvb3l3h-mPDRzQrqWDu9t_AQVeHD5027IQQJ1EK-PVLPHF2oSH3znuzIGxxhI3Mu2tL2X9uScQ4XhrLG5scTaTh_5tC646EAtQXZomgKt-47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5067"/>
    <w:rsid w:val="001D462F"/>
    <w:rsid w:val="00485067"/>
    <w:rsid w:val="005E3917"/>
    <w:rsid w:val="0095463E"/>
    <w:rsid w:val="00E5394A"/>
    <w:rsid w:val="00E61B1C"/>
    <w:rsid w:val="00FC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FB63F4-6B27-4E0D-9EB5-09B4F4AE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" w:eastAsia="Lucida Sans" w:hAnsi="Lucida Sans" w:cs="Lucida Sans"/>
    </w:rPr>
  </w:style>
  <w:style w:type="paragraph" w:styleId="Heading1">
    <w:name w:val="heading 1"/>
    <w:basedOn w:val="Normal"/>
    <w:uiPriority w:val="1"/>
    <w:qFormat/>
    <w:pPr>
      <w:spacing w:before="73"/>
      <w:outlineLvl w:val="0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7"/>
    </w:pPr>
  </w:style>
  <w:style w:type="paragraph" w:styleId="Header">
    <w:name w:val="header"/>
    <w:basedOn w:val="Normal"/>
    <w:link w:val="HeaderChar"/>
    <w:uiPriority w:val="99"/>
    <w:unhideWhenUsed/>
    <w:rsid w:val="009546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63E"/>
    <w:rPr>
      <w:rFonts w:ascii="Lucida Sans" w:eastAsia="Lucida Sans" w:hAnsi="Lucida Sans" w:cs="Lucida Sans"/>
    </w:rPr>
  </w:style>
  <w:style w:type="paragraph" w:styleId="Footer">
    <w:name w:val="footer"/>
    <w:basedOn w:val="Normal"/>
    <w:link w:val="FooterChar"/>
    <w:uiPriority w:val="99"/>
    <w:unhideWhenUsed/>
    <w:rsid w:val="009546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63E"/>
    <w:rPr>
      <w:rFonts w:ascii="Lucida Sans" w:eastAsia="Lucida Sans" w:hAnsi="Lucida Sans"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Day 1.1. ELA State Catalysts Day 1 The Shifts</dc:title>
  <dc:creator>jfann</dc:creator>
  <cp:lastModifiedBy>Lynda Nguyen</cp:lastModifiedBy>
  <cp:revision>4</cp:revision>
  <dcterms:created xsi:type="dcterms:W3CDTF">2016-12-16T10:20:00Z</dcterms:created>
  <dcterms:modified xsi:type="dcterms:W3CDTF">2016-12-16T19:16:00Z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2016-12-16T00:00:00Z</vt:filetime>
  </property>
</Properties>
</file>